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DB" w:rsidRDefault="00F918DB" w:rsidP="00F918DB">
      <w:pPr>
        <w:pStyle w:val="NormalWeb"/>
        <w:jc w:val="center"/>
        <w:rPr>
          <w:rStyle w:val="Strong"/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FTS Supply Corps (3107)</w:t>
      </w:r>
    </w:p>
    <w:p w:rsidR="00324C09" w:rsidRDefault="00F918DB" w:rsidP="00F918DB">
      <w:pPr>
        <w:pStyle w:val="NormalWeb"/>
        <w:rPr>
          <w:rFonts w:ascii="Verdana" w:hAnsi="Verdana"/>
          <w:bCs/>
          <w:color w:val="000000"/>
          <w:sz w:val="20"/>
          <w:szCs w:val="20"/>
        </w:rPr>
      </w:pPr>
      <w:r w:rsidRPr="004F2114">
        <w:rPr>
          <w:rFonts w:ascii="Verdana" w:hAnsi="Verdana"/>
          <w:bCs/>
          <w:color w:val="000000"/>
          <w:sz w:val="20"/>
          <w:szCs w:val="20"/>
        </w:rPr>
        <w:t xml:space="preserve">Despite being roughly 4 percent of the </w:t>
      </w:r>
      <w:r w:rsidR="004F2114" w:rsidRPr="004F2114">
        <w:rPr>
          <w:rFonts w:ascii="Verdana" w:hAnsi="Verdana"/>
          <w:bCs/>
          <w:color w:val="000000"/>
          <w:sz w:val="20"/>
          <w:szCs w:val="20"/>
        </w:rPr>
        <w:t xml:space="preserve">overall Supply Corps </w:t>
      </w:r>
      <w:r w:rsidR="00D273B7">
        <w:rPr>
          <w:rFonts w:ascii="Verdana" w:hAnsi="Verdana"/>
          <w:bCs/>
          <w:color w:val="000000"/>
          <w:sz w:val="20"/>
          <w:szCs w:val="20"/>
        </w:rPr>
        <w:t xml:space="preserve">– </w:t>
      </w:r>
      <w:r w:rsidR="004F2114" w:rsidRPr="004F2114">
        <w:rPr>
          <w:rFonts w:ascii="Verdana" w:hAnsi="Verdana"/>
          <w:bCs/>
          <w:color w:val="000000"/>
          <w:sz w:val="20"/>
          <w:szCs w:val="20"/>
        </w:rPr>
        <w:t>AC</w:t>
      </w:r>
      <w:r w:rsidR="00D273B7">
        <w:rPr>
          <w:rFonts w:ascii="Verdana" w:hAnsi="Verdana"/>
          <w:bCs/>
          <w:color w:val="000000"/>
          <w:sz w:val="20"/>
          <w:szCs w:val="20"/>
        </w:rPr>
        <w:t xml:space="preserve"> Community</w:t>
      </w:r>
      <w:r w:rsidR="004F2114" w:rsidRPr="004F2114">
        <w:rPr>
          <w:rFonts w:ascii="Verdana" w:hAnsi="Verdana"/>
          <w:bCs/>
          <w:color w:val="000000"/>
          <w:sz w:val="20"/>
          <w:szCs w:val="20"/>
        </w:rPr>
        <w:t>, the SC FTS – 3107</w:t>
      </w:r>
      <w:r w:rsidR="00D273B7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4F2114" w:rsidRPr="004F2114">
        <w:rPr>
          <w:rFonts w:ascii="Verdana" w:hAnsi="Verdana"/>
          <w:bCs/>
          <w:color w:val="000000"/>
          <w:sz w:val="20"/>
          <w:szCs w:val="20"/>
        </w:rPr>
        <w:t>community</w:t>
      </w:r>
      <w:r w:rsidR="00D273B7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gramStart"/>
      <w:r w:rsidR="004F2114" w:rsidRPr="004F2114">
        <w:rPr>
          <w:rFonts w:ascii="Verdana" w:hAnsi="Verdana"/>
          <w:bCs/>
          <w:color w:val="000000"/>
          <w:sz w:val="20"/>
          <w:szCs w:val="20"/>
        </w:rPr>
        <w:t>are</w:t>
      </w:r>
      <w:proofErr w:type="gramEnd"/>
      <w:r w:rsidR="004F2114" w:rsidRPr="004F2114">
        <w:rPr>
          <w:rFonts w:ascii="Verdana" w:hAnsi="Verdana"/>
          <w:bCs/>
          <w:color w:val="000000"/>
          <w:sz w:val="20"/>
          <w:szCs w:val="20"/>
        </w:rPr>
        <w:t xml:space="preserve"> still considered a critical linkage between our AC and </w:t>
      </w:r>
      <w:r w:rsidR="00816B56">
        <w:rPr>
          <w:rFonts w:ascii="Verdana" w:hAnsi="Verdana"/>
          <w:bCs/>
          <w:color w:val="000000"/>
          <w:sz w:val="20"/>
          <w:szCs w:val="20"/>
        </w:rPr>
        <w:t>RC</w:t>
      </w:r>
      <w:r w:rsidR="004F2114" w:rsidRPr="004F2114">
        <w:rPr>
          <w:rFonts w:ascii="Verdana" w:hAnsi="Verdana"/>
          <w:bCs/>
          <w:color w:val="000000"/>
          <w:sz w:val="20"/>
          <w:szCs w:val="20"/>
        </w:rPr>
        <w:t xml:space="preserve"> counterparts.  </w:t>
      </w:r>
      <w:r w:rsidR="004F2114">
        <w:rPr>
          <w:rFonts w:ascii="Verdana" w:hAnsi="Verdana"/>
          <w:bCs/>
          <w:color w:val="000000"/>
          <w:sz w:val="20"/>
          <w:szCs w:val="20"/>
        </w:rPr>
        <w:t>FTS SC personnel often serve alongside their 3100 counterparts were they are typically embedded in NAVSUP HQ, NAVSUP GLS, Fleet Logistics Centers, and various other Major Commands where a significant population of SC Officers exist.  The career progression of a FTS SC Officer will typically mirror the career progression of an AC 3100 Officer up the rank of Lieutenant</w:t>
      </w:r>
      <w:r w:rsidR="00816B56">
        <w:rPr>
          <w:rFonts w:ascii="Verdana" w:hAnsi="Verdana"/>
          <w:bCs/>
          <w:color w:val="000000"/>
          <w:sz w:val="20"/>
          <w:szCs w:val="20"/>
        </w:rPr>
        <w:t>/O-3.</w:t>
      </w:r>
      <w:r w:rsidR="004F211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324C09">
        <w:rPr>
          <w:rFonts w:ascii="Verdana" w:hAnsi="Verdana"/>
          <w:bCs/>
          <w:color w:val="000000"/>
          <w:sz w:val="20"/>
          <w:szCs w:val="20"/>
        </w:rPr>
        <w:t>At-Sea operational &amp; non-traditional operational duty for SC JO’s is still considered the pinnacle, as the SC Community is the 2</w:t>
      </w:r>
      <w:r w:rsidR="00324C09" w:rsidRPr="00324C09">
        <w:rPr>
          <w:rFonts w:ascii="Verdana" w:hAnsi="Verdana"/>
          <w:bCs/>
          <w:color w:val="000000"/>
          <w:sz w:val="20"/>
          <w:szCs w:val="20"/>
          <w:vertAlign w:val="superscript"/>
        </w:rPr>
        <w:t>nd</w:t>
      </w:r>
      <w:r w:rsidR="00324C09">
        <w:rPr>
          <w:rFonts w:ascii="Verdana" w:hAnsi="Verdana"/>
          <w:bCs/>
          <w:color w:val="000000"/>
          <w:sz w:val="20"/>
          <w:szCs w:val="20"/>
        </w:rPr>
        <w:t xml:space="preserve"> most operational community behind our SWO counterparts. </w:t>
      </w:r>
      <w:r w:rsidR="009477D3">
        <w:rPr>
          <w:rFonts w:ascii="Verdana" w:hAnsi="Verdana"/>
          <w:bCs/>
          <w:color w:val="000000"/>
          <w:sz w:val="20"/>
          <w:szCs w:val="20"/>
        </w:rPr>
        <w:t xml:space="preserve">Career progression at the Lieutenant Commander/O-4 and above level will consist mainly of billets in the reserve management or expeditionary Logistics arenas, with other opportunities in areas of supply chain management and aviation logistics.  </w:t>
      </w:r>
    </w:p>
    <w:p w:rsidR="00324C09" w:rsidRPr="00324C09" w:rsidRDefault="00324C09" w:rsidP="00324C09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Verdana" w:hAnsi="Verdana"/>
          <w:b/>
          <w:color w:val="323232"/>
          <w:sz w:val="20"/>
          <w:szCs w:val="20"/>
        </w:rPr>
      </w:pPr>
      <w:r w:rsidRPr="00324C09">
        <w:rPr>
          <w:rFonts w:ascii="Verdana" w:eastAsia="+mn-ea" w:hAnsi="Verdana" w:cs="+mn-cs"/>
          <w:b/>
          <w:color w:val="000000"/>
          <w:sz w:val="20"/>
          <w:szCs w:val="20"/>
        </w:rPr>
        <w:t>Valued achievements at all paygrades</w:t>
      </w:r>
    </w:p>
    <w:p w:rsidR="00324C09" w:rsidRPr="00324C09" w:rsidRDefault="00324C09" w:rsidP="00324C09">
      <w:pPr>
        <w:pStyle w:val="ListParagraph"/>
        <w:numPr>
          <w:ilvl w:val="1"/>
          <w:numId w:val="3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Sustained superior performance</w:t>
      </w:r>
    </w:p>
    <w:p w:rsidR="00324C09" w:rsidRPr="00324C09" w:rsidRDefault="00324C09" w:rsidP="00324C09">
      <w:pPr>
        <w:pStyle w:val="ListParagraph"/>
        <w:numPr>
          <w:ilvl w:val="1"/>
          <w:numId w:val="3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 xml:space="preserve">Reserve Management – direct support to the SC RC </w:t>
      </w:r>
    </w:p>
    <w:p w:rsidR="00324C09" w:rsidRPr="00324C09" w:rsidRDefault="00324C09" w:rsidP="00324C09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Verdana" w:hAnsi="Verdana"/>
          <w:b/>
          <w:color w:val="323232"/>
          <w:sz w:val="20"/>
          <w:szCs w:val="20"/>
        </w:rPr>
      </w:pPr>
      <w:r w:rsidRPr="00324C09">
        <w:rPr>
          <w:rFonts w:ascii="Verdana" w:eastAsia="+mn-ea" w:hAnsi="Verdana" w:cs="+mn-cs"/>
          <w:b/>
          <w:color w:val="000000"/>
          <w:sz w:val="20"/>
          <w:szCs w:val="20"/>
        </w:rPr>
        <w:t>Valued achievements prior to LIEUTENANT COMMANDER</w:t>
      </w:r>
    </w:p>
    <w:p w:rsidR="00324C09" w:rsidRPr="00324C09" w:rsidRDefault="00324C09" w:rsidP="00324C09">
      <w:pPr>
        <w:pStyle w:val="ListParagraph"/>
        <w:numPr>
          <w:ilvl w:val="1"/>
          <w:numId w:val="3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Warfare qualification</w:t>
      </w:r>
    </w:p>
    <w:p w:rsidR="00324C09" w:rsidRPr="00324C09" w:rsidRDefault="00324C09" w:rsidP="00324C09">
      <w:pPr>
        <w:pStyle w:val="ListParagraph"/>
        <w:numPr>
          <w:ilvl w:val="1"/>
          <w:numId w:val="3"/>
        </w:numPr>
        <w:kinsoku w:val="0"/>
        <w:overflowPunct w:val="0"/>
        <w:spacing w:before="72"/>
        <w:textAlignment w:val="baseline"/>
        <w:rPr>
          <w:rFonts w:ascii="Verdana" w:hAnsi="Verdana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Two OP tours (if accession timeline allows) defined by afloat and/or non-traditional (AQD 928/929 where officer performed workups and deployed with unit providing logistical support – i.e., NMCB, NCHB, NSW, CRG)</w:t>
      </w:r>
    </w:p>
    <w:p w:rsidR="00324C09" w:rsidRPr="00324C09" w:rsidRDefault="00324C09" w:rsidP="00324C09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Verdana" w:hAnsi="Verdana"/>
          <w:b/>
          <w:color w:val="323232"/>
          <w:sz w:val="20"/>
          <w:szCs w:val="20"/>
        </w:rPr>
      </w:pPr>
      <w:r w:rsidRPr="00324C09">
        <w:rPr>
          <w:rFonts w:ascii="Verdana" w:eastAsia="+mn-ea" w:hAnsi="Verdana" w:cs="+mn-cs"/>
          <w:b/>
          <w:color w:val="000000"/>
          <w:sz w:val="20"/>
          <w:szCs w:val="20"/>
        </w:rPr>
        <w:t>Valued achievements prior to COMMANDER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Master’s degree associated with SC lines of operation (strongly encouraged)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JPME Phase 1 – strongly encouraged (required for command)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Reserve Management Tour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Admin/Oral board screening for O5 Command</w:t>
      </w:r>
    </w:p>
    <w:p w:rsidR="00324C09" w:rsidRPr="00324C09" w:rsidRDefault="00324C09" w:rsidP="00324C09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rFonts w:ascii="Verdana" w:hAnsi="Verdana"/>
          <w:b/>
          <w:color w:val="323232"/>
          <w:sz w:val="20"/>
          <w:szCs w:val="20"/>
        </w:rPr>
      </w:pPr>
      <w:r w:rsidRPr="00324C09">
        <w:rPr>
          <w:rFonts w:ascii="Verdana" w:eastAsia="+mn-ea" w:hAnsi="Verdana" w:cs="+mn-cs"/>
          <w:b/>
          <w:color w:val="000000"/>
          <w:sz w:val="20"/>
          <w:szCs w:val="20"/>
        </w:rPr>
        <w:t>Valued achievements prior to CAPTAIN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Proven ability to lead and direct people and organizations in tough, highly visible, and challenging environments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Diverse experience to include RM and SC Management/Expeditionary Logistics</w:t>
      </w:r>
    </w:p>
    <w:p w:rsidR="00324C09" w:rsidRPr="00324C09" w:rsidRDefault="00324C09" w:rsidP="00324C09">
      <w:pPr>
        <w:pStyle w:val="ListParagraph"/>
        <w:numPr>
          <w:ilvl w:val="1"/>
          <w:numId w:val="4"/>
        </w:numPr>
        <w:kinsoku w:val="0"/>
        <w:overflowPunct w:val="0"/>
        <w:textAlignment w:val="baseline"/>
        <w:rPr>
          <w:rFonts w:ascii="Verdana" w:hAnsi="Verdana"/>
          <w:color w:val="323232"/>
          <w:sz w:val="20"/>
          <w:szCs w:val="20"/>
        </w:rPr>
      </w:pPr>
      <w:r w:rsidRPr="00324C09">
        <w:rPr>
          <w:rFonts w:ascii="Verdana" w:hAnsi="Verdana"/>
          <w:color w:val="000000"/>
          <w:sz w:val="20"/>
          <w:szCs w:val="20"/>
        </w:rPr>
        <w:t>Admin/Oral board screening for O6 Command</w:t>
      </w:r>
    </w:p>
    <w:p w:rsidR="00F918DB" w:rsidRDefault="00816B56" w:rsidP="00F918DB">
      <w:pPr>
        <w:pStyle w:val="NormalWeb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FTS SC billet breakdown is provided below:</w:t>
      </w:r>
    </w:p>
    <w:p w:rsidR="00816B56" w:rsidRPr="00816B56" w:rsidRDefault="00816B56" w:rsidP="00816B56">
      <w:pPr>
        <w:kinsoku w:val="0"/>
        <w:overflowPunct w:val="0"/>
        <w:spacing w:line="192" w:lineRule="auto"/>
        <w:ind w:left="360"/>
        <w:textAlignment w:val="baseline"/>
        <w:rPr>
          <w:rFonts w:ascii="Verdana" w:hAnsi="Verdana"/>
          <w:sz w:val="20"/>
          <w:szCs w:val="20"/>
        </w:rPr>
      </w:pP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>3107 Billet Concentration</w:t>
      </w:r>
    </w:p>
    <w:p w:rsidR="00816B56" w:rsidRPr="00816B56" w:rsidRDefault="00816B56" w:rsidP="00816B56">
      <w:pPr>
        <w:pStyle w:val="ListParagraph"/>
        <w:numPr>
          <w:ilvl w:val="1"/>
          <w:numId w:val="2"/>
        </w:numPr>
        <w:kinsoku w:val="0"/>
        <w:overflowPunct w:val="0"/>
        <w:spacing w:line="192" w:lineRule="auto"/>
        <w:textAlignment w:val="baseline"/>
        <w:rPr>
          <w:rFonts w:ascii="Verdana" w:hAnsi="Verdana"/>
          <w:sz w:val="20"/>
          <w:szCs w:val="20"/>
        </w:rPr>
      </w:pP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 xml:space="preserve">Reserve Management (Direct Support to RC): 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>38%</w:t>
      </w:r>
    </w:p>
    <w:p w:rsidR="00816B56" w:rsidRPr="00816B56" w:rsidRDefault="00816B56" w:rsidP="00816B56">
      <w:pPr>
        <w:pStyle w:val="ListParagraph"/>
        <w:numPr>
          <w:ilvl w:val="1"/>
          <w:numId w:val="2"/>
        </w:numPr>
        <w:kinsoku w:val="0"/>
        <w:overflowPunct w:val="0"/>
        <w:spacing w:line="192" w:lineRule="auto"/>
        <w:textAlignment w:val="baseline"/>
        <w:rPr>
          <w:rFonts w:ascii="Verdana" w:hAnsi="Verdana"/>
          <w:sz w:val="20"/>
          <w:szCs w:val="20"/>
        </w:rPr>
      </w:pP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 xml:space="preserve">Expeditionary Logistics: 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>36%</w:t>
      </w:r>
    </w:p>
    <w:p w:rsidR="00816B56" w:rsidRPr="00816B56" w:rsidRDefault="00816B56" w:rsidP="00816B56">
      <w:pPr>
        <w:pStyle w:val="ListParagraph"/>
        <w:numPr>
          <w:ilvl w:val="1"/>
          <w:numId w:val="2"/>
        </w:numPr>
        <w:kinsoku w:val="0"/>
        <w:overflowPunct w:val="0"/>
        <w:spacing w:line="192" w:lineRule="auto"/>
        <w:textAlignment w:val="baseline"/>
        <w:rPr>
          <w:rFonts w:ascii="Verdana" w:hAnsi="Verdana"/>
          <w:sz w:val="20"/>
          <w:szCs w:val="20"/>
        </w:rPr>
      </w:pP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>Aviation / Supply Chain Management: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>10%</w:t>
      </w:r>
    </w:p>
    <w:p w:rsidR="00816B56" w:rsidRPr="00816B56" w:rsidRDefault="00816B56" w:rsidP="00816B56">
      <w:pPr>
        <w:pStyle w:val="ListParagraph"/>
        <w:numPr>
          <w:ilvl w:val="1"/>
          <w:numId w:val="2"/>
        </w:numPr>
        <w:kinsoku w:val="0"/>
        <w:overflowPunct w:val="0"/>
        <w:spacing w:line="192" w:lineRule="auto"/>
        <w:textAlignment w:val="baseline"/>
        <w:rPr>
          <w:rFonts w:ascii="Verdana" w:hAnsi="Verdana"/>
          <w:sz w:val="20"/>
          <w:szCs w:val="20"/>
        </w:rPr>
      </w:pP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>Afloat: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 xml:space="preserve">  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>9%</w:t>
      </w:r>
    </w:p>
    <w:p w:rsidR="00816B56" w:rsidRPr="00816B56" w:rsidRDefault="00816B56" w:rsidP="00816B56">
      <w:pPr>
        <w:pStyle w:val="ListParagraph"/>
        <w:numPr>
          <w:ilvl w:val="1"/>
          <w:numId w:val="2"/>
        </w:numPr>
        <w:kinsoku w:val="0"/>
        <w:overflowPunct w:val="0"/>
        <w:spacing w:line="192" w:lineRule="auto"/>
        <w:textAlignment w:val="baseline"/>
        <w:rPr>
          <w:rFonts w:ascii="Verdana" w:hAnsi="Verdana"/>
          <w:sz w:val="20"/>
          <w:szCs w:val="20"/>
        </w:rPr>
      </w:pP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>Major Staff: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 xml:space="preserve">  </w:t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</w:r>
      <w:r w:rsidRPr="00816B56">
        <w:rPr>
          <w:rFonts w:ascii="Verdana" w:eastAsia="+mn-ea" w:hAnsi="Verdana" w:cs="Helvetica"/>
          <w:b/>
          <w:bCs/>
          <w:kern w:val="24"/>
          <w:sz w:val="20"/>
          <w:szCs w:val="20"/>
        </w:rPr>
        <w:tab/>
        <w:t>7%</w:t>
      </w:r>
    </w:p>
    <w:p w:rsidR="00324C09" w:rsidRPr="00324C09" w:rsidRDefault="00816B56" w:rsidP="00F918DB">
      <w:pPr>
        <w:pStyle w:val="NormalWeb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The majority of FTS SC Officers will be accessed into </w:t>
      </w:r>
      <w:r w:rsidR="009477D3">
        <w:rPr>
          <w:rFonts w:ascii="Verdana" w:hAnsi="Verdana"/>
          <w:bCs/>
          <w:color w:val="000000"/>
          <w:sz w:val="20"/>
          <w:szCs w:val="20"/>
        </w:rPr>
        <w:t>the</w:t>
      </w:r>
      <w:r>
        <w:rPr>
          <w:rFonts w:ascii="Verdana" w:hAnsi="Verdana"/>
          <w:bCs/>
          <w:color w:val="000000"/>
          <w:sz w:val="20"/>
          <w:szCs w:val="20"/>
        </w:rPr>
        <w:t xml:space="preserve"> community via the semi-annual FTS/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Redesignation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Board process where most new accessions will have anywhere from 3-9 years of service.  Most new accessions will be either 3100 AC or 3105 RC Officers.   </w:t>
      </w:r>
      <w:r w:rsidR="00324C09">
        <w:rPr>
          <w:rFonts w:ascii="Verdana" w:hAnsi="Verdana"/>
          <w:bCs/>
          <w:color w:val="000000"/>
          <w:sz w:val="20"/>
          <w:szCs w:val="20"/>
        </w:rPr>
        <w:t xml:space="preserve">Despite the small size of our community, </w:t>
      </w:r>
      <w:r w:rsidR="009477D3">
        <w:rPr>
          <w:rFonts w:ascii="Verdana" w:hAnsi="Verdana"/>
          <w:bCs/>
          <w:color w:val="000000"/>
          <w:sz w:val="20"/>
          <w:szCs w:val="20"/>
        </w:rPr>
        <w:t>FTS SC Officers</w:t>
      </w:r>
      <w:r w:rsidR="00324C09">
        <w:rPr>
          <w:rFonts w:ascii="Verdana" w:hAnsi="Verdana"/>
          <w:bCs/>
          <w:color w:val="000000"/>
          <w:sz w:val="20"/>
          <w:szCs w:val="20"/>
        </w:rPr>
        <w:t xml:space="preserve"> make a significant impact to the Supply Corp’s mission of “d</w:t>
      </w:r>
      <w:r w:rsidR="00324C09" w:rsidRPr="00324C09">
        <w:rPr>
          <w:rFonts w:ascii="Verdana" w:hAnsi="Verdana" w:cs="Arial"/>
          <w:sz w:val="20"/>
          <w:szCs w:val="20"/>
        </w:rPr>
        <w:t>elivering sustained global logistics capabilities to the Navy and Joint Warfighter</w:t>
      </w:r>
      <w:r w:rsidR="00324C09">
        <w:rPr>
          <w:rFonts w:ascii="Verdana" w:hAnsi="Verdana" w:cs="Arial"/>
          <w:sz w:val="20"/>
          <w:szCs w:val="20"/>
        </w:rPr>
        <w:t xml:space="preserve">.”  </w:t>
      </w:r>
    </w:p>
    <w:p w:rsidR="00816B56" w:rsidRPr="004F2114" w:rsidRDefault="00324C09" w:rsidP="00F918DB">
      <w:pPr>
        <w:pStyle w:val="NormalWeb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816B56" w:rsidRPr="004F2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0D9"/>
    <w:multiLevelType w:val="hybridMultilevel"/>
    <w:tmpl w:val="0520FD94"/>
    <w:lvl w:ilvl="0" w:tplc="D0225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65542">
      <w:start w:val="6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28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E8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140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C3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60C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21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A6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B04E2"/>
    <w:multiLevelType w:val="hybridMultilevel"/>
    <w:tmpl w:val="0D98C070"/>
    <w:lvl w:ilvl="0" w:tplc="0854EC7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F40C066">
      <w:start w:val="127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0FB6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3129AE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5EE6F0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68A223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CDC33F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EB09C1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68E6C6B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45D95E56"/>
    <w:multiLevelType w:val="multilevel"/>
    <w:tmpl w:val="9BA0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9E1FB6"/>
    <w:multiLevelType w:val="hybridMultilevel"/>
    <w:tmpl w:val="B7500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D2764C"/>
    <w:multiLevelType w:val="hybridMultilevel"/>
    <w:tmpl w:val="314442A8"/>
    <w:lvl w:ilvl="0" w:tplc="89146DF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B43036">
      <w:start w:val="127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4761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8C8D53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666BB3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5EC10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602B29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B247E7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312B11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16"/>
    <w:rsid w:val="00105771"/>
    <w:rsid w:val="00126D82"/>
    <w:rsid w:val="00324C09"/>
    <w:rsid w:val="003430D4"/>
    <w:rsid w:val="00382480"/>
    <w:rsid w:val="003D2849"/>
    <w:rsid w:val="004F2114"/>
    <w:rsid w:val="005E46E4"/>
    <w:rsid w:val="006257DF"/>
    <w:rsid w:val="00652916"/>
    <w:rsid w:val="007750B6"/>
    <w:rsid w:val="007C12EA"/>
    <w:rsid w:val="00816B56"/>
    <w:rsid w:val="009477D3"/>
    <w:rsid w:val="00D273B7"/>
    <w:rsid w:val="00F5287A"/>
    <w:rsid w:val="00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57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577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750B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0B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16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57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577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750B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0B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16B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4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42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7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2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8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9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2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2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1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1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3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45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1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3128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567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13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1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6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31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STHYQZMEZ5WQ-435932314-77</_dlc_DocId>
    <_dlc_DocIdUrl xmlns="10f1aa0a-179b-49cb-8a72-3a924897e106">
      <Url>http://open-web-1b-z1/bupers-npc/officer/Detailing/fulltimesupport/_layouts/DocIdRedir.aspx?ID=STHYQZMEZ5WQ-435932314-77</Url>
      <Description>STHYQZMEZ5WQ-435932314-77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99BD759055447A2BC9F6A3E685105" ma:contentTypeVersion="2" ma:contentTypeDescription="Create a new document." ma:contentTypeScope="" ma:versionID="ce51c0fd1b0794b986322c12678e9c6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82757-7044-4DDE-BA75-3D36D7B8761B}"/>
</file>

<file path=customXml/itemProps2.xml><?xml version="1.0" encoding="utf-8"?>
<ds:datastoreItem xmlns:ds="http://schemas.openxmlformats.org/officeDocument/2006/customXml" ds:itemID="{01593093-3FEA-438D-BF31-FFC94164947A}"/>
</file>

<file path=customXml/itemProps3.xml><?xml version="1.0" encoding="utf-8"?>
<ds:datastoreItem xmlns:ds="http://schemas.openxmlformats.org/officeDocument/2006/customXml" ds:itemID="{59E0E50B-EE6C-406E-BF47-425A3409923A}"/>
</file>

<file path=customXml/itemProps4.xml><?xml version="1.0" encoding="utf-8"?>
<ds:datastoreItem xmlns:ds="http://schemas.openxmlformats.org/officeDocument/2006/customXml" ds:itemID="{E576D4A3-D740-4CA5-8B93-9AFB56AB0C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C. Cruz</dc:creator>
  <cp:lastModifiedBy>reginal.l.williams2</cp:lastModifiedBy>
  <cp:revision>3</cp:revision>
  <dcterms:created xsi:type="dcterms:W3CDTF">2015-11-06T18:51:00Z</dcterms:created>
  <dcterms:modified xsi:type="dcterms:W3CDTF">2015-11-06T18:59:00Z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0x010100E0F99BD759055447A2BC9F6A3E685105</vt:lpwstr>
  </property>
  <property fmtid="{D5CDD505-2E9C-101B-9397-08002B2CF9AE}" pid="3" name="Order">
    <vt:r8>7700</vt:r8>
  </property>
  <property fmtid="{D5CDD505-2E9C-101B-9397-08002B2CF9AE}" pid="4" name="_dlc_DocIdItemGuid">
    <vt:lpwstr>8b22a3eb-66e0-40c2-a3a7-1c3c4b9182e2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